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3751f57a6497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40779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ZAVIČAJNI MUZEJ SLATINA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186.567,69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178.532,16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156.625,76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200.462,49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21.930,33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28.128,62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28.128,62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26.053,83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prihodi poslovanja u iznosu od 178.532,16 € što predstavlja smanjenje od 4,3% u odnosu na godinu prije. Najznačajnije smanjenje prihoda poslovanja ostvareno je kod prihoda od prodaje proizvoda i robe te pruženih usluga, prihodi od donacija te povrati po protestiranim jamstvima (šifra 66) za 88,5% u odnosu na godinu ranije, a posljedica je prvenstveno manjih kapitalnih donacija (darovane muzejske građe). Također, nisu ostvareni niti  prihodi od pomoći iz inozemstva i od subjekata unutar općeg proračuna (šifre 63).  Prihodi od nadležnog proračuna (šifra 67) povećani su za 12,6% u odnosu na godnu ranije. Oni služe prvenstveno za pokriće troškova plaća te sufinanciranja materijalnih troškova. S obzirom da su navedeni troškovi rasli, povećali su se i prihodi kojima su ti troškovi financirani.</w:t>
      </w:r>
    </w:p>
    <w:p>
      <w:r>
        <w:t xml:space="preserve">Rashodi poslovanja u izvještajnom razdoblju ostvareni su u iznosu od 200.462,49 €. Najznačajnije povećanje rashoda evidentirano je na rashodima za zaposlene (šifra 31) uslijed povećanja troška plaća, 34,5% u odnosu na godinu ranije. U navedene rashode ulazi i trošak plaće za 12. mjesec 2025. godine koja će biti isplaćena u 1. mjesecu 2026. godine te priznati i prihodi nadležnog proračuna (manjak iz izvora 1.1. u 2025. opći prihodi i primitci). Materijalni rashodi (šifra 32) veći su za 14,3% u odnosu na godinu ranije. Navedeno povećanje rezultat je, u velikoj mjeri, rasta cijena tekućih troškova redovnog poslovanja. </w:t>
      </w:r>
    </w:p>
    <w:p>
      <w:r>
        <w:t xml:space="preserve">U navedenom razdoblju nema ostvarenih prihoda od prodaje nefinancijske imovine, dok su rashodi za nabavu nefinancijske imovine ostvareni u iznosu od 4.123,50 €.</w:t>
      </w:r>
    </w:p>
    <w:p>
      <w:r>
        <w:t xml:space="preserve">U navedenom razdoblju nije bilo ostvarenih primitaka i izdataka od financijske imovine i zađuživanja.  </w:t>
      </w:r>
    </w:p>
    <w:p>
      <w:r>
        <w:t xml:space="preserve">U izvještajnom razdoblju ostvaren je manjak prihoda poslovanja u iznosu od 21.930,33 € te manjak prihoda od nefinancijske imovine u iznosu od 4.123,50 €, slijedom čega je na kraju izvještajnog razdoblja ostvaren ukupan manjak prihoda i primitaka u iznosu od 26.053,83 €. Navedeni manjak prihoda i primitaka sastoji se od višaka/manjka po izvorima:</w:t>
      </w:r>
    </w:p>
    <w:p>
      <w:r>
        <w:t xml:space="preserve">Izvor 1.1. manjak u iznosu 26.324,93 €</w:t>
      </w:r>
    </w:p>
    <w:p>
      <w:r>
        <w:t xml:space="preserve">Izvor 3.1. višak u iznosu 271,10 €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39,8</w:t>
            </w:r>
          </w:p>
        </w:tc>
      </w:tr>
    </w:tbl>
    <w:p>
      <w:pPr>
        <w:spacing w:before="0" w:after="0"/>
      </w:pPr>
    </w:p>
    <w:p>
      <w:r>
        <w:t xml:space="preserve">Prihodi na ovoj šifri odnose se na vođenje i sudjelovanje u arheoloških iskopavanjima i drugim stručnim terenskim istraživanjima te su usporedbi s prošlom godinom su značajno manji.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155.640,29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172.500,56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Prihodi od nadležnog proračuna povećani su za 10,8% u odnosu na godnu ranije. Oni služe prvenstveno za pokriće troškova plaća te sufinanciranja materijalnih troškova. S obzirom da su navedeni troškovi rasli, povećali su se i prihodi kojima su ti troškovi financirani.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81.570,18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110.473,72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r>
        <w:t xml:space="preserve">Navedeni rashod veći je za 35,4% u odnosu na godinu ranije uslijed rasta plaća i shodno tome i troška samih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8.845,63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2640,5</w:t>
            </w:r>
          </w:p>
        </w:tc>
      </w:tr>
    </w:tbl>
    <w:p>
      <w:pPr>
        <w:spacing w:before="0" w:after="0"/>
      </w:pPr>
    </w:p>
    <w:p>
      <w:r>
        <w:t xml:space="preserve">Rashod za računalne usluge veći je za 2540,05% u odnosu na godinu ranije uslijed nabave i implementacije programskog rješenja za ulazak u punu riznicu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12.913,97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</w:tbl>
    <w:p>
      <w:pPr>
        <w:spacing w:before="0" w:after="0"/>
      </w:pPr>
    </w:p>
    <w:p>
      <w:r>
        <w:t xml:space="preserve">Obveze za zaposlene se odnose na plaću za 12. mjesec koja je isplaćena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13.830,05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Ove obveze odnose se na neplaćene račune koji se odnose na 2025. godinu, a bit će plaćeni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-26.262,71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Preneseni manjak prihoda i primitaka iz prošle godine iznosi 208,88 €. Manjak ostvaren u 2025. iznosi 26.053,83 € što zajedno čini ukupan iznos od 26.262,71 €, odnosno rezultat na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obveza na kraju izvještajnog razdoblja iznosi 26.770,96 €. S obzirom da nema dospjelih obveza na 31.12.2025. cijeli navedeni iznos se odnosi na stanje nedospjelih obveza na kraju izvještajnog razdoblja. Cjelokupan iznos obveza odnosi se na rashode poslovanja.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ba97317504186" /></Relationships>
</file>